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49651C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172"/>
        <w:gridCol w:w="36"/>
        <w:gridCol w:w="21"/>
        <w:gridCol w:w="478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751547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5"/>
            <w:vAlign w:val="center"/>
          </w:tcPr>
          <w:p w14:paraId="7E26E8B9" w14:textId="04194F82" w:rsidR="004B553E" w:rsidRPr="00997527" w:rsidRDefault="00997527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bCs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E382C1C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E77BE8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77BE8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751547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5"/>
            <w:vAlign w:val="center"/>
          </w:tcPr>
          <w:p w14:paraId="2B11CF37" w14:textId="3FF5A467" w:rsidR="004B553E" w:rsidRPr="00997527" w:rsidRDefault="00997527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bCs/>
                <w:sz w:val="18"/>
                <w:szCs w:val="18"/>
              </w:rPr>
              <w:t>Praktikum i školska praksa 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6B2722A" w:rsidR="004B553E" w:rsidRPr="00997527" w:rsidRDefault="00997527" w:rsidP="0079745E">
            <w:pPr>
              <w:spacing w:before="20" w:after="20"/>
              <w:jc w:val="center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bCs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751547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2"/>
            <w:shd w:val="clear" w:color="auto" w:fill="FFFFFF" w:themeFill="background1"/>
            <w:vAlign w:val="center"/>
          </w:tcPr>
          <w:p w14:paraId="5DDF46E3" w14:textId="58A1F02C" w:rsidR="004B553E" w:rsidRPr="00997527" w:rsidRDefault="00997527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bCs/>
                <w:sz w:val="18"/>
                <w:szCs w:val="18"/>
              </w:rPr>
              <w:t>Anglistika; smjer: nastavnički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751547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AD2E28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7BE8">
              <w:rPr>
                <w:rFonts w:ascii="Merriweather" w:hAnsi="Merriweather" w:cs="Times New Roman"/>
                <w:sz w:val="16"/>
                <w:szCs w:val="16"/>
              </w:rPr>
              <w:t>prije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0D03E30A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75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751547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DA3AF0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75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5D0B86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751547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BFE30D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75EE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866" w:type="dxa"/>
            <w:gridSpan w:val="3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244" w:type="dxa"/>
            <w:gridSpan w:val="8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997527" w:rsidRPr="0017531F" w14:paraId="5931DA7C" w14:textId="77777777" w:rsidTr="005D0B86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E1F34C5" w14:textId="77777777" w:rsidR="00997527" w:rsidRPr="00751547" w:rsidRDefault="00997527" w:rsidP="0099752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14:paraId="6E386306" w14:textId="77777777" w:rsidR="00997527" w:rsidRDefault="00997527" w:rsidP="0099752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8"/>
            <w:vAlign w:val="center"/>
          </w:tcPr>
          <w:p w14:paraId="043BC7E2" w14:textId="0D630331" w:rsidR="00997527" w:rsidRDefault="00000000" w:rsidP="0099752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5109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52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7527" w:rsidRPr="00FF1020">
              <w:rPr>
                <w:rFonts w:ascii="Merriweather" w:hAnsi="Merriweather" w:cs="Times New Roman"/>
                <w:sz w:val="18"/>
              </w:rPr>
              <w:t xml:space="preserve"> VI</w:t>
            </w:r>
            <w:r w:rsidR="00997527">
              <w:rPr>
                <w:rFonts w:ascii="Merriweather" w:hAnsi="Merriweather" w:cs="Times New Roman"/>
                <w:sz w:val="18"/>
              </w:rPr>
              <w:t>I</w:t>
            </w:r>
            <w:r w:rsidR="00997527" w:rsidRPr="00FF1020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1069" w:type="dxa"/>
            <w:gridSpan w:val="5"/>
            <w:vAlign w:val="center"/>
          </w:tcPr>
          <w:p w14:paraId="046FCF65" w14:textId="2A7E2786" w:rsidR="00997527" w:rsidRDefault="00000000" w:rsidP="0099752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9150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527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97527" w:rsidRPr="00FF1020">
              <w:rPr>
                <w:rFonts w:ascii="Merriweather" w:hAnsi="Merriweather" w:cs="Times New Roman"/>
                <w:sz w:val="18"/>
              </w:rPr>
              <w:t xml:space="preserve"> VI</w:t>
            </w:r>
            <w:r w:rsidR="00997527">
              <w:rPr>
                <w:rFonts w:ascii="Merriweather" w:hAnsi="Merriweather" w:cs="Times New Roman"/>
                <w:sz w:val="18"/>
              </w:rPr>
              <w:t>II</w:t>
            </w:r>
            <w:r w:rsidR="00997527" w:rsidRPr="00FF1020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1069" w:type="dxa"/>
            <w:gridSpan w:val="4"/>
            <w:vAlign w:val="center"/>
          </w:tcPr>
          <w:p w14:paraId="50740233" w14:textId="44BF0669" w:rsidR="00997527" w:rsidRDefault="00000000" w:rsidP="0099752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566099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752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97527">
              <w:rPr>
                <w:rFonts w:ascii="Merriweather" w:hAnsi="Merriweather" w:cs="Times New Roman"/>
                <w:sz w:val="18"/>
              </w:rPr>
              <w:t xml:space="preserve"> IX</w:t>
            </w:r>
            <w:r w:rsidR="00997527" w:rsidRPr="00FF1020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866" w:type="dxa"/>
            <w:gridSpan w:val="3"/>
            <w:vAlign w:val="center"/>
          </w:tcPr>
          <w:p w14:paraId="0D853453" w14:textId="6F65D5F7" w:rsidR="00997527" w:rsidRDefault="00000000" w:rsidP="0099752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3298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527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97527">
              <w:rPr>
                <w:rFonts w:ascii="Merriweather" w:hAnsi="Merriweather" w:cs="Times New Roman"/>
                <w:sz w:val="18"/>
              </w:rPr>
              <w:t xml:space="preserve"> X</w:t>
            </w:r>
            <w:r w:rsidR="00997527" w:rsidRPr="00FF1020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1244" w:type="dxa"/>
            <w:gridSpan w:val="8"/>
            <w:vAlign w:val="center"/>
          </w:tcPr>
          <w:p w14:paraId="4A3506CE" w14:textId="77777777" w:rsidR="00997527" w:rsidRDefault="00997527" w:rsidP="0099752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F52DE95" w14:textId="77777777" w:rsidR="00997527" w:rsidRDefault="00997527" w:rsidP="0099752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751547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573BFA4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75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9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351A6FEC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75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751547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Opterećenje</w:t>
            </w:r>
            <w:r w:rsidR="00FC2198" w:rsidRPr="00751547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3" w:type="dxa"/>
          </w:tcPr>
          <w:p w14:paraId="51235072" w14:textId="52448F11" w:rsidR="00453362" w:rsidRPr="0017531F" w:rsidRDefault="0099752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321B2BC" w:rsidR="00453362" w:rsidRPr="0017531F" w:rsidRDefault="00997527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F9D0FD9" w:rsidR="00453362" w:rsidRPr="0017531F" w:rsidRDefault="0099752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4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605809DE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75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751547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70BC450" w14:textId="77777777" w:rsidR="00997527" w:rsidRPr="00997527" w:rsidRDefault="00997527" w:rsidP="00997527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sz w:val="18"/>
                <w:szCs w:val="18"/>
              </w:rPr>
              <w:t xml:space="preserve">Seminari: </w:t>
            </w:r>
          </w:p>
          <w:p w14:paraId="7C1ED737" w14:textId="3976F420" w:rsidR="00453362" w:rsidRPr="0017531F" w:rsidRDefault="00997527" w:rsidP="00997527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97527">
              <w:rPr>
                <w:rFonts w:ascii="Merriweather" w:hAnsi="Merriweather" w:cs="Times New Roman"/>
                <w:sz w:val="18"/>
                <w:szCs w:val="18"/>
              </w:rPr>
              <w:t>SK- Dvorana 143, Sri. 14:00-16:00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0"/>
            <w:vAlign w:val="center"/>
          </w:tcPr>
          <w:p w14:paraId="391F86C6" w14:textId="58FADE1B" w:rsidR="00453362" w:rsidRPr="00997527" w:rsidRDefault="0099752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sz w:val="18"/>
                <w:szCs w:val="18"/>
              </w:rPr>
              <w:t>Engleski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751547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0881DFC" w:rsidR="00453362" w:rsidRPr="00997527" w:rsidRDefault="00E77BE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997527" w:rsidRPr="00997527">
              <w:rPr>
                <w:rFonts w:ascii="Merriweather" w:hAnsi="Merriweather" w:cs="Times New Roman"/>
                <w:sz w:val="18"/>
                <w:szCs w:val="18"/>
              </w:rPr>
              <w:t>.10.202</w:t>
            </w:r>
            <w:r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997527" w:rsidRPr="00997527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0"/>
          </w:tcPr>
          <w:p w14:paraId="6DFC97B8" w14:textId="7B2EA920" w:rsidR="00453362" w:rsidRPr="00997527" w:rsidRDefault="00997527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="00E77BE8">
              <w:rPr>
                <w:rFonts w:ascii="Merriweather" w:hAnsi="Merriweather" w:cs="Times New Roman"/>
                <w:sz w:val="18"/>
                <w:szCs w:val="18"/>
              </w:rPr>
              <w:t>3</w:t>
            </w:r>
            <w:r w:rsidRPr="00997527">
              <w:rPr>
                <w:rFonts w:ascii="Merriweather" w:hAnsi="Merriweather" w:cs="Times New Roman"/>
                <w:sz w:val="18"/>
                <w:szCs w:val="18"/>
              </w:rPr>
              <w:t>.1.202</w:t>
            </w:r>
            <w:r w:rsidR="00E77BE8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997527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751547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2"/>
            <w:vAlign w:val="center"/>
          </w:tcPr>
          <w:p w14:paraId="5A6BD316" w14:textId="77777777" w:rsidR="00997527" w:rsidRPr="00997527" w:rsidRDefault="00997527" w:rsidP="00997527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sz w:val="18"/>
                <w:szCs w:val="18"/>
              </w:rPr>
              <w:t>Upisan III. semestar diplomskog studija anglistike (nastavnički smjer).</w:t>
            </w:r>
          </w:p>
          <w:p w14:paraId="08B2294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61EFB7B2" w14:textId="77777777" w:rsidR="00453362" w:rsidRPr="00751547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751547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2"/>
            <w:vAlign w:val="center"/>
          </w:tcPr>
          <w:p w14:paraId="1F385C33" w14:textId="15CE853C" w:rsidR="00453362" w:rsidRPr="00997527" w:rsidRDefault="0099752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sz w:val="18"/>
                <w:szCs w:val="18"/>
              </w:rPr>
              <w:t>izv. prof .dr. sc. Anna Martinović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751547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5641113" w:rsidR="00453362" w:rsidRPr="00997527" w:rsidRDefault="0099752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sz w:val="18"/>
                <w:szCs w:val="18"/>
              </w:rPr>
              <w:t>amartino@unizd.hr</w:t>
            </w: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50F59465" w14:textId="77777777" w:rsidR="00453362" w:rsidRPr="00997527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69ACE0E6" w:rsidR="00453362" w:rsidRPr="002D62A7" w:rsidRDefault="002D62A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 xml:space="preserve">Srijedom, </w:t>
            </w:r>
            <w:r w:rsidR="00E77BE8">
              <w:rPr>
                <w:rFonts w:ascii="Merriweather" w:hAnsi="Merriweather" w:cs="Times New Roman"/>
                <w:sz w:val="18"/>
                <w:szCs w:val="18"/>
              </w:rPr>
              <w:t>10</w:t>
            </w:r>
            <w:r w:rsidRPr="002D62A7">
              <w:rPr>
                <w:rFonts w:ascii="Merriweather" w:hAnsi="Merriweather" w:cs="Times New Roman"/>
                <w:sz w:val="18"/>
                <w:szCs w:val="18"/>
              </w:rPr>
              <w:t>:00-1</w:t>
            </w:r>
            <w:r w:rsidR="00E77BE8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Pr="002D62A7">
              <w:rPr>
                <w:rFonts w:ascii="Merriweather" w:hAnsi="Merriweather" w:cs="Times New Roman"/>
                <w:sz w:val="18"/>
                <w:szCs w:val="18"/>
              </w:rPr>
              <w:t>:00h i prema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751547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2"/>
            <w:vAlign w:val="center"/>
          </w:tcPr>
          <w:p w14:paraId="2833FE84" w14:textId="77777777" w:rsidR="00453362" w:rsidRPr="00997527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751547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997527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A30F022" w14:textId="77777777" w:rsidR="00453362" w:rsidRPr="00997527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751547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171DDBDE" w14:textId="576005FA" w:rsidR="00453362" w:rsidRPr="00997527" w:rsidRDefault="002D62A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>Mentori u osnovnim i srednjim školama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751547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54CAF13B" w:rsidR="00453362" w:rsidRPr="00997527" w:rsidRDefault="002D62A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>e-mail adrese mentora se nalaze u prilogu</w:t>
            </w: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639E3BA6" w14:textId="77777777" w:rsidR="00453362" w:rsidRPr="00997527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751547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70866A8C" w14:textId="77777777" w:rsidR="00453362" w:rsidRPr="00997527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751547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997527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116EECE8" w14:textId="77777777" w:rsidR="00453362" w:rsidRPr="00997527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97527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782B945" w14:textId="77777777" w:rsidR="00453362" w:rsidRPr="00751547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751547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33D" w:rsidRPr="002D62A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18C47A6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62A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662E0EE8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62A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6A6B8B48" w14:textId="77777777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D62A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D62A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2D62A7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D62A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D62A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D62A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5E3F7F1A" w14:textId="77777777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D62A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2D62A7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D62A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53362" w:rsidRPr="002D62A7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751547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5"/>
            <w:vAlign w:val="center"/>
          </w:tcPr>
          <w:p w14:paraId="4BA227B7" w14:textId="77777777" w:rsidR="002D62A7" w:rsidRPr="002D62A7" w:rsidRDefault="002D62A7" w:rsidP="002D62A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 xml:space="preserve">Po završetku kolegija student će steći temeljna znanja iz poučavanja engleskoga jezika na različitim jezičnim razinama te će moći: </w:t>
            </w:r>
          </w:p>
          <w:p w14:paraId="26DA8746" w14:textId="77777777" w:rsidR="002D62A7" w:rsidRPr="002D62A7" w:rsidRDefault="002D62A7" w:rsidP="002D62A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>- ciljano i refleksivno promatrati nastavu,</w:t>
            </w:r>
          </w:p>
          <w:p w14:paraId="28846292" w14:textId="77777777" w:rsidR="002D62A7" w:rsidRPr="002D62A7" w:rsidRDefault="002D62A7" w:rsidP="002D62A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>- procjenjivati efekte različitih nastavnih strategija,</w:t>
            </w:r>
          </w:p>
          <w:p w14:paraId="79C64238" w14:textId="77777777" w:rsidR="002D62A7" w:rsidRPr="002D62A7" w:rsidRDefault="002D62A7" w:rsidP="002D62A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 xml:space="preserve">- prepoznati i objasniti aspekte nastavničke kompetencije, </w:t>
            </w:r>
          </w:p>
          <w:p w14:paraId="45E74D9D" w14:textId="77777777" w:rsidR="002D62A7" w:rsidRPr="002D62A7" w:rsidRDefault="002D62A7" w:rsidP="002D62A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>- planirati nastavne jedinice,</w:t>
            </w:r>
          </w:p>
          <w:p w14:paraId="55994FD5" w14:textId="77777777" w:rsidR="002D62A7" w:rsidRPr="002D62A7" w:rsidRDefault="002D62A7" w:rsidP="002D62A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 xml:space="preserve">- izrađivati nastavne materijale, </w:t>
            </w:r>
          </w:p>
          <w:p w14:paraId="13E2A08B" w14:textId="75988960" w:rsidR="00310F9A" w:rsidRPr="002D62A7" w:rsidRDefault="002D62A7" w:rsidP="002D62A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D62A7">
              <w:rPr>
                <w:rFonts w:ascii="Merriweather" w:hAnsi="Merriweather" w:cs="Times New Roman"/>
                <w:sz w:val="18"/>
                <w:szCs w:val="18"/>
              </w:rPr>
              <w:t>- identificirati i usvojiti osnovne vještine upravljanja razredom.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751547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Ishodi učenja na razini programa</w:t>
            </w:r>
          </w:p>
        </w:tc>
        <w:tc>
          <w:tcPr>
            <w:tcW w:w="5991" w:type="dxa"/>
            <w:gridSpan w:val="25"/>
            <w:vAlign w:val="center"/>
          </w:tcPr>
          <w:p w14:paraId="10702A4A" w14:textId="77777777" w:rsidR="005D0B86" w:rsidRPr="005D0B86" w:rsidRDefault="005D0B86" w:rsidP="005D0B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D0B86">
              <w:rPr>
                <w:rFonts w:ascii="Merriweather" w:hAnsi="Merriweather" w:cs="Times New Roman"/>
                <w:sz w:val="18"/>
                <w:szCs w:val="18"/>
              </w:rPr>
              <w:t xml:space="preserve">Po završetku kolegija student će moći: </w:t>
            </w:r>
          </w:p>
          <w:p w14:paraId="3A130DC8" w14:textId="77777777" w:rsidR="005D0B86" w:rsidRPr="005D0B86" w:rsidRDefault="005D0B86" w:rsidP="005D0B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D0B86">
              <w:rPr>
                <w:rFonts w:ascii="Merriweather" w:hAnsi="Merriweather" w:cs="Times New Roman"/>
                <w:sz w:val="18"/>
                <w:szCs w:val="18"/>
              </w:rPr>
              <w:t>- prepoznati i opisati relevantne ideje i koncepte</w:t>
            </w:r>
          </w:p>
          <w:p w14:paraId="080494A4" w14:textId="77777777" w:rsidR="005D0B86" w:rsidRPr="005D0B86" w:rsidRDefault="005D0B86" w:rsidP="005D0B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D0B86">
              <w:rPr>
                <w:rFonts w:ascii="Merriweather" w:hAnsi="Merriweather" w:cs="Times New Roman"/>
                <w:sz w:val="18"/>
                <w:szCs w:val="18"/>
              </w:rPr>
              <w:lastRenderedPageBreak/>
              <w:t>- primijeniti kritičan i samokritičan pristup u argumentaciji</w:t>
            </w:r>
          </w:p>
          <w:p w14:paraId="32C70908" w14:textId="77777777" w:rsidR="005D0B86" w:rsidRPr="005D0B86" w:rsidRDefault="005D0B86" w:rsidP="005D0B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D0B86">
              <w:rPr>
                <w:rFonts w:ascii="Merriweather" w:hAnsi="Merriweather" w:cs="Times New Roman"/>
                <w:sz w:val="18"/>
                <w:szCs w:val="18"/>
              </w:rPr>
              <w:t>- primijeniti etička načela u samostalnom i grupnom rješavanju problema i provođenju istraživanja</w:t>
            </w:r>
          </w:p>
          <w:p w14:paraId="18B24D41" w14:textId="77777777" w:rsidR="005D0B86" w:rsidRPr="005D0B86" w:rsidRDefault="005D0B86" w:rsidP="005D0B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D0B86">
              <w:rPr>
                <w:rFonts w:ascii="Merriweather" w:hAnsi="Merriweather" w:cs="Times New Roman"/>
                <w:sz w:val="18"/>
                <w:szCs w:val="18"/>
              </w:rPr>
              <w:t>- procijeniti važnost rada u međunarodnom kontekstu</w:t>
            </w:r>
          </w:p>
          <w:p w14:paraId="0B4A65D2" w14:textId="77777777" w:rsidR="005D0B86" w:rsidRPr="005D0B86" w:rsidRDefault="005D0B86" w:rsidP="005D0B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D0B86">
              <w:rPr>
                <w:rFonts w:ascii="Merriweather" w:hAnsi="Merriweather" w:cs="Times New Roman"/>
                <w:sz w:val="18"/>
                <w:szCs w:val="18"/>
              </w:rPr>
              <w:t>- razlikovati temeljne ciljeve i zadatke nastave engleskoga jezika</w:t>
            </w:r>
          </w:p>
          <w:p w14:paraId="12CA2F78" w14:textId="4030ED66" w:rsidR="00310F9A" w:rsidRPr="005D0B86" w:rsidRDefault="005D0B86" w:rsidP="005D0B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D0B86">
              <w:rPr>
                <w:rFonts w:ascii="Merriweather" w:hAnsi="Merriweather" w:cs="Times New Roman"/>
                <w:sz w:val="18"/>
                <w:szCs w:val="18"/>
              </w:rPr>
              <w:t>- prepoznati i opisati temeljne pristupe, metode i strategije poučavanja engleskoga kao stranog jezika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751547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6A40B6E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0B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6435AD2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0B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65E257BB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0B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751547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0FAC65F6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0B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751547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14:paraId="0140A634" w14:textId="08BBE893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  <w:r w:rsidR="005D0B8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D0B86" w:rsidRPr="005D0B86">
              <w:rPr>
                <w:rFonts w:ascii="Merriweather" w:hAnsi="Merriweather" w:cs="Times New Roman"/>
                <w:sz w:val="16"/>
                <w:szCs w:val="16"/>
              </w:rPr>
              <w:t>Portfolijo, Esej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751547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2"/>
            <w:vAlign w:val="center"/>
          </w:tcPr>
          <w:p w14:paraId="2862DD60" w14:textId="255DEB9C" w:rsidR="00FC2198" w:rsidRDefault="005D0B8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Cs/>
                <w:sz w:val="16"/>
                <w:szCs w:val="16"/>
              </w:rPr>
            </w:pPr>
            <w:r w:rsidRPr="005D0B86">
              <w:rPr>
                <w:rFonts w:ascii="Merriweather" w:hAnsi="Merriweather" w:cs="Times New Roman"/>
                <w:iCs/>
                <w:sz w:val="16"/>
                <w:szCs w:val="16"/>
              </w:rPr>
              <w:t>Studenti/ice trebaju redovito pohađati  školsku praksu (100%, tj. 15/15 sati) i praktikum</w:t>
            </w:r>
            <w:r w:rsidR="00E77BE8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 seminare</w:t>
            </w:r>
            <w:r w:rsidRPr="005D0B86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 (najmanje 80%, tj. 24/30 sati). Posebno je važno da student/ica dođe na dogovor za školsku praksu jer mu/joj se u protivnom neće moći omogućiti pohađanje školske prakse.  </w:t>
            </w:r>
          </w:p>
          <w:p w14:paraId="61A5A804" w14:textId="789A5AB1" w:rsidR="005D0B86" w:rsidRPr="005D0B86" w:rsidRDefault="005D0B8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Cs/>
                <w:sz w:val="16"/>
                <w:szCs w:val="16"/>
              </w:rPr>
            </w:pPr>
            <w:r w:rsidRPr="005D0B86">
              <w:rPr>
                <w:rFonts w:ascii="Merriweather" w:hAnsi="Merriweather" w:cs="Times New Roman"/>
                <w:iCs/>
                <w:sz w:val="16"/>
                <w:szCs w:val="16"/>
              </w:rPr>
              <w:t>Na školskoj praksi studenti/ice su dužni voditi dnevnik školske prakse,  ispuniti određene zadatke promatranja, a svoja zapažanja trebaju iznijeti na praktikumu te sudjelovati u diskusijama i ostalim aktivnostima. Za vrijeme trajanja školske prakse svaki student treba održati tri desetominutne  mikro lekcije. Nadalje, studenti/ice trebaju napisati izvještaj o promatraju nastave u školi s kritičkim osvrtom na pojedine aspekte nastavnoga procesa (500-700 riječi) u skladu s APA standardima pisanja. Dakle, portfolio sadrži: uputnicu na školsku praksu, dnevnik školske prakse, zadatke promatranja, izvještaj o promatranju nastave u školi i domaći rad. Studenti/ice trebaju predati portfolio najkasnije do</w:t>
            </w:r>
            <w:r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 </w:t>
            </w:r>
            <w:r w:rsidRPr="005D0B86">
              <w:rPr>
                <w:rFonts w:ascii="Merriweather" w:hAnsi="Merriweather" w:cs="Times New Roman"/>
                <w:iCs/>
                <w:sz w:val="16"/>
                <w:szCs w:val="16"/>
              </w:rPr>
              <w:t>2</w:t>
            </w:r>
            <w:r w:rsidR="00D85085">
              <w:rPr>
                <w:rFonts w:ascii="Merriweather" w:hAnsi="Merriweather" w:cs="Times New Roman"/>
                <w:iCs/>
                <w:sz w:val="16"/>
                <w:szCs w:val="16"/>
              </w:rPr>
              <w:t>3</w:t>
            </w:r>
            <w:r w:rsidRPr="005D0B86">
              <w:rPr>
                <w:rFonts w:ascii="Merriweather" w:hAnsi="Merriweather" w:cs="Times New Roman"/>
                <w:iCs/>
                <w:sz w:val="16"/>
                <w:szCs w:val="16"/>
              </w:rPr>
              <w:t>.1.202</w:t>
            </w:r>
            <w:r w:rsidR="00D85085">
              <w:rPr>
                <w:rFonts w:ascii="Merriweather" w:hAnsi="Merriweather" w:cs="Times New Roman"/>
                <w:iCs/>
                <w:sz w:val="16"/>
                <w:szCs w:val="16"/>
              </w:rPr>
              <w:t>6</w:t>
            </w:r>
            <w:r w:rsidRPr="005D0B86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 . god. Radovi koji ne ispunjavaju APA standarde neće biti prihvaćeni kao ni zakašnjeli i nepotpuni radovi.</w:t>
            </w:r>
          </w:p>
        </w:tc>
      </w:tr>
      <w:tr w:rsidR="00FC2198" w:rsidRPr="0017531F" w14:paraId="71C89285" w14:textId="77777777" w:rsidTr="005D0B86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751547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6A2352A" w:rsidR="00FC2198" w:rsidRPr="005D0B86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0B86" w:rsidRPr="005D0B8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FC2198" w:rsidRPr="005D0B86">
              <w:rPr>
                <w:rFonts w:ascii="Merriweather" w:hAnsi="Merriweather" w:cs="Times New Roman"/>
                <w:sz w:val="18"/>
                <w:szCs w:val="18"/>
              </w:rPr>
              <w:t xml:space="preserve"> zimski ispitni rok </w:t>
            </w:r>
          </w:p>
        </w:tc>
        <w:tc>
          <w:tcPr>
            <w:tcW w:w="2236" w:type="dxa"/>
            <w:gridSpan w:val="9"/>
          </w:tcPr>
          <w:p w14:paraId="5ABD043B" w14:textId="77777777" w:rsidR="00FC2198" w:rsidRPr="005D0B86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5D0B86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FC2198" w:rsidRPr="005D0B86">
              <w:rPr>
                <w:rFonts w:ascii="Merriweather" w:hAnsi="Merriweather" w:cs="Times New Roman"/>
                <w:sz w:val="18"/>
                <w:szCs w:val="18"/>
              </w:rPr>
              <w:t xml:space="preserve"> ljetni ispitni rok</w:t>
            </w:r>
          </w:p>
        </w:tc>
        <w:tc>
          <w:tcPr>
            <w:tcW w:w="2347" w:type="dxa"/>
            <w:gridSpan w:val="9"/>
          </w:tcPr>
          <w:p w14:paraId="20582D24" w14:textId="68535205" w:rsidR="00FC2198" w:rsidRPr="005D0B86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0B86" w:rsidRPr="005D0B8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FC2198" w:rsidRPr="005D0B86">
              <w:rPr>
                <w:rFonts w:ascii="Merriweather" w:hAnsi="Merriweather" w:cs="Times New Roman"/>
                <w:sz w:val="18"/>
                <w:szCs w:val="18"/>
              </w:rPr>
              <w:t xml:space="preserve"> jesenski ispitni rok</w:t>
            </w:r>
          </w:p>
        </w:tc>
      </w:tr>
      <w:tr w:rsidR="00FC2198" w:rsidRPr="0017531F" w14:paraId="1A30FCB5" w14:textId="77777777" w:rsidTr="005D0B86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751547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45406599" w:rsidR="00FC2198" w:rsidRPr="00DC326A" w:rsidRDefault="00DC32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tgtFrame="_blank" w:tooltip="https://anglistika.unizd.hr/ispitni-rokovi" w:history="1">
              <w:r w:rsidRPr="00DC326A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  <w:tc>
          <w:tcPr>
            <w:tcW w:w="2236" w:type="dxa"/>
            <w:gridSpan w:val="9"/>
            <w:vAlign w:val="center"/>
          </w:tcPr>
          <w:p w14:paraId="1307FC56" w14:textId="77777777" w:rsidR="00FC2198" w:rsidRPr="005D0B86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347" w:type="dxa"/>
            <w:gridSpan w:val="9"/>
            <w:vAlign w:val="center"/>
          </w:tcPr>
          <w:p w14:paraId="346823C5" w14:textId="73B9240C" w:rsidR="00FC2198" w:rsidRPr="00DC326A" w:rsidRDefault="00DC32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tgtFrame="_blank" w:tooltip="https://anglistika.unizd.hr/ispitni-rokovi" w:history="1">
              <w:r w:rsidRPr="00DC326A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751547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2"/>
            <w:vAlign w:val="center"/>
          </w:tcPr>
          <w:p w14:paraId="232A0C09" w14:textId="5B52E8BF" w:rsidR="00FC2198" w:rsidRPr="0017531F" w:rsidRDefault="005D0B8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0B86">
              <w:rPr>
                <w:rFonts w:ascii="Merriweather" w:eastAsia="MS Gothic" w:hAnsi="Merriweather" w:cs="Times New Roman"/>
                <w:sz w:val="16"/>
                <w:szCs w:val="16"/>
              </w:rPr>
              <w:t>Temeljni cilj kolegija je pripremiti studente za samostalno planiranje i izvođenje nastavnog sata na različitim jezičnim razinama. Sukladno tome, studente će se osposobiti za ciljano i refleksivno promatranje nastave u razredu pri čemu će moći povezati teorijske spoznaje iz relevantnih kolegija s konkretnim primjerima nastavne prakse te razvijati sposobnost procjene učinkovitosti primjene nastavne strategije. Nadalje, studenti će razvijati svjesnost o sastavnicama nastavničke kompetencije i potrebi njezinog razvoja. Također, kod studenata će se razvijati sposobnost samoanalize i vrednovanja vlastite nastave.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751547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2"/>
          </w:tcPr>
          <w:p w14:paraId="27F7C347" w14:textId="77777777" w:rsidR="00FC2198" w:rsidRPr="00751547" w:rsidRDefault="0049651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iCs/>
                <w:sz w:val="18"/>
                <w:szCs w:val="18"/>
              </w:rPr>
              <w:t>Seminari:</w:t>
            </w:r>
          </w:p>
          <w:tbl>
            <w:tblPr>
              <w:tblStyle w:val="TableGrid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1276"/>
              <w:gridCol w:w="2551"/>
              <w:gridCol w:w="4047"/>
            </w:tblGrid>
            <w:tr w:rsidR="00751547" w:rsidRPr="00751547" w14:paraId="5DABFD2A" w14:textId="77777777" w:rsidTr="00751547">
              <w:tc>
                <w:tcPr>
                  <w:tcW w:w="485" w:type="dxa"/>
                </w:tcPr>
                <w:p w14:paraId="670B390E" w14:textId="77777777" w:rsidR="00751547" w:rsidRPr="00751547" w:rsidRDefault="00751547" w:rsidP="00751547">
                  <w:pPr>
                    <w:tabs>
                      <w:tab w:val="left" w:pos="1218"/>
                    </w:tabs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3498CC1E" w14:textId="77777777" w:rsidR="00751547" w:rsidRPr="00751547" w:rsidRDefault="00751547" w:rsidP="00751547">
                  <w:pPr>
                    <w:tabs>
                      <w:tab w:val="left" w:pos="1218"/>
                    </w:tabs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b/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2551" w:type="dxa"/>
                </w:tcPr>
                <w:p w14:paraId="64DB624E" w14:textId="77777777" w:rsidR="00751547" w:rsidRPr="00751547" w:rsidRDefault="00751547" w:rsidP="00751547">
                  <w:pPr>
                    <w:tabs>
                      <w:tab w:val="left" w:pos="1218"/>
                    </w:tabs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b/>
                      <w:sz w:val="18"/>
                      <w:szCs w:val="18"/>
                    </w:rPr>
                    <w:t>Naslov</w:t>
                  </w:r>
                </w:p>
              </w:tc>
              <w:tc>
                <w:tcPr>
                  <w:tcW w:w="4047" w:type="dxa"/>
                </w:tcPr>
                <w:p w14:paraId="4F572825" w14:textId="77777777" w:rsidR="00751547" w:rsidRPr="00751547" w:rsidRDefault="00751547" w:rsidP="00751547">
                  <w:pPr>
                    <w:tabs>
                      <w:tab w:val="left" w:pos="1218"/>
                    </w:tabs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b/>
                      <w:sz w:val="18"/>
                      <w:szCs w:val="18"/>
                    </w:rPr>
                    <w:t>Literatura</w:t>
                  </w:r>
                </w:p>
              </w:tc>
            </w:tr>
            <w:tr w:rsidR="0012491E" w:rsidRPr="00751547" w14:paraId="5B66E8D3" w14:textId="77777777" w:rsidTr="00A41BF3">
              <w:tc>
                <w:tcPr>
                  <w:tcW w:w="485" w:type="dxa"/>
                  <w:vAlign w:val="center"/>
                </w:tcPr>
                <w:p w14:paraId="2A1C196A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1307B33B" w14:textId="0002213F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 w:cs="Times New Roman"/>
                      <w:sz w:val="18"/>
                      <w:szCs w:val="18"/>
                    </w:rPr>
                    <w:t>1.10.2025.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297388FF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Introduction to the course.</w:t>
                  </w:r>
                </w:p>
              </w:tc>
              <w:tc>
                <w:tcPr>
                  <w:tcW w:w="4047" w:type="dxa"/>
                  <w:vAlign w:val="center"/>
                </w:tcPr>
                <w:p w14:paraId="505B58B5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</w:p>
              </w:tc>
            </w:tr>
            <w:tr w:rsidR="0012491E" w:rsidRPr="00751547" w14:paraId="4BAB8A8A" w14:textId="77777777" w:rsidTr="00A41BF3">
              <w:tc>
                <w:tcPr>
                  <w:tcW w:w="485" w:type="dxa"/>
                  <w:vAlign w:val="center"/>
                </w:tcPr>
                <w:p w14:paraId="15FED506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3F1002" w14:textId="6CC20F2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8.10.20225.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4A560BD8" w14:textId="7A496F7C" w:rsidR="0012491E" w:rsidRPr="00751547" w:rsidRDefault="0012491E" w:rsidP="0012491E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Student groups/allocation of mentors</w:t>
                  </w:r>
                </w:p>
              </w:tc>
              <w:tc>
                <w:tcPr>
                  <w:tcW w:w="4047" w:type="dxa"/>
                  <w:vAlign w:val="center"/>
                </w:tcPr>
                <w:p w14:paraId="621145B1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</w:p>
              </w:tc>
            </w:tr>
            <w:tr w:rsidR="0012491E" w:rsidRPr="00751547" w14:paraId="3C0F9C7D" w14:textId="77777777" w:rsidTr="00751547">
              <w:tc>
                <w:tcPr>
                  <w:tcW w:w="485" w:type="dxa"/>
                  <w:vAlign w:val="center"/>
                </w:tcPr>
                <w:p w14:paraId="0EEEB7E9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276" w:type="dxa"/>
                </w:tcPr>
                <w:p w14:paraId="77122F12" w14:textId="6BCC3DE2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15.10.2025.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0FA4C60B" w14:textId="77777777" w:rsidR="0012491E" w:rsidRPr="00751547" w:rsidRDefault="0012491E" w:rsidP="0012491E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A focus on teacher competences</w:t>
                  </w:r>
                </w:p>
              </w:tc>
              <w:tc>
                <w:tcPr>
                  <w:tcW w:w="4047" w:type="dxa"/>
                  <w:vAlign w:val="center"/>
                </w:tcPr>
                <w:p w14:paraId="3F4E5B41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EPOSTL</w:t>
                  </w:r>
                </w:p>
              </w:tc>
            </w:tr>
            <w:tr w:rsidR="0012491E" w:rsidRPr="00751547" w14:paraId="6A74AA18" w14:textId="77777777" w:rsidTr="00751547">
              <w:tc>
                <w:tcPr>
                  <w:tcW w:w="485" w:type="dxa"/>
                  <w:vAlign w:val="center"/>
                </w:tcPr>
                <w:p w14:paraId="3DF33303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276" w:type="dxa"/>
                </w:tcPr>
                <w:p w14:paraId="35F8DE7F" w14:textId="156EF254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22.10.2025.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277C70E6" w14:textId="77777777" w:rsidR="0012491E" w:rsidRPr="00751547" w:rsidRDefault="0012491E" w:rsidP="0012491E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Lesson planning – A focus on goals and objectives</w:t>
                  </w:r>
                </w:p>
              </w:tc>
              <w:tc>
                <w:tcPr>
                  <w:tcW w:w="4047" w:type="dxa"/>
                  <w:vAlign w:val="center"/>
                </w:tcPr>
                <w:p w14:paraId="6C03FB52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Heekyeong (2015)</w:t>
                  </w:r>
                </w:p>
                <w:p w14:paraId="6FCD7BD6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Harmer, J. (2015)</w:t>
                  </w:r>
                </w:p>
                <w:p w14:paraId="3914B51B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Ur, P. (2012)</w:t>
                  </w:r>
                </w:p>
              </w:tc>
            </w:tr>
            <w:tr w:rsidR="0012491E" w:rsidRPr="00751547" w14:paraId="0158C5E6" w14:textId="77777777" w:rsidTr="00751547">
              <w:tc>
                <w:tcPr>
                  <w:tcW w:w="485" w:type="dxa"/>
                  <w:vAlign w:val="center"/>
                </w:tcPr>
                <w:p w14:paraId="18AE3A08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276" w:type="dxa"/>
                </w:tcPr>
                <w:p w14:paraId="6EF4FA2D" w14:textId="5C53314B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29.10.2025.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472E962B" w14:textId="77777777" w:rsidR="0012491E" w:rsidRPr="00751547" w:rsidRDefault="0012491E" w:rsidP="0012491E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Writing a lesson plan</w:t>
                  </w:r>
                </w:p>
              </w:tc>
              <w:tc>
                <w:tcPr>
                  <w:tcW w:w="4047" w:type="dxa"/>
                  <w:vAlign w:val="center"/>
                </w:tcPr>
                <w:p w14:paraId="6143D958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Brown &amp; Heekyeong (2015)</w:t>
                  </w:r>
                </w:p>
                <w:p w14:paraId="02F5EA20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Harmer, J. (2015)</w:t>
                  </w:r>
                </w:p>
                <w:p w14:paraId="2F238958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Ur, P. (2012)</w:t>
                  </w:r>
                </w:p>
              </w:tc>
            </w:tr>
            <w:tr w:rsidR="0012491E" w:rsidRPr="00751547" w14:paraId="2793E454" w14:textId="77777777" w:rsidTr="00751547">
              <w:tc>
                <w:tcPr>
                  <w:tcW w:w="485" w:type="dxa"/>
                  <w:vAlign w:val="center"/>
                </w:tcPr>
                <w:p w14:paraId="45ACB344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276" w:type="dxa"/>
                </w:tcPr>
                <w:p w14:paraId="0D65FFB7" w14:textId="7E96ED99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5.11.2025.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1D0FBD6A" w14:textId="77777777" w:rsidR="0012491E" w:rsidRPr="00751547" w:rsidRDefault="0012491E" w:rsidP="0012491E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Attending to the learner/The teacher's meta-language</w:t>
                  </w:r>
                </w:p>
              </w:tc>
              <w:tc>
                <w:tcPr>
                  <w:tcW w:w="4047" w:type="dxa"/>
                  <w:vAlign w:val="center"/>
                </w:tcPr>
                <w:p w14:paraId="7FE24C3E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Wajnryb, R. (2012)</w:t>
                  </w:r>
                </w:p>
              </w:tc>
            </w:tr>
            <w:tr w:rsidR="0012491E" w:rsidRPr="00751547" w14:paraId="018A7559" w14:textId="77777777" w:rsidTr="00751547">
              <w:tc>
                <w:tcPr>
                  <w:tcW w:w="485" w:type="dxa"/>
                  <w:vAlign w:val="center"/>
                </w:tcPr>
                <w:p w14:paraId="6FAB4374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276" w:type="dxa"/>
                </w:tcPr>
                <w:p w14:paraId="1847AA49" w14:textId="7F26013C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12.11.2025.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105C70CA" w14:textId="77777777" w:rsidR="0012491E" w:rsidRPr="00751547" w:rsidRDefault="0012491E" w:rsidP="0012491E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The language of  questions</w:t>
                  </w:r>
                </w:p>
              </w:tc>
              <w:tc>
                <w:tcPr>
                  <w:tcW w:w="4047" w:type="dxa"/>
                  <w:vAlign w:val="center"/>
                </w:tcPr>
                <w:p w14:paraId="455FA6B0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Wajnryb, R. (2012)</w:t>
                  </w:r>
                </w:p>
              </w:tc>
            </w:tr>
            <w:tr w:rsidR="0012491E" w:rsidRPr="00751547" w14:paraId="2C64CA86" w14:textId="77777777" w:rsidTr="00751547">
              <w:tc>
                <w:tcPr>
                  <w:tcW w:w="485" w:type="dxa"/>
                  <w:vAlign w:val="center"/>
                </w:tcPr>
                <w:p w14:paraId="37C48EC8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276" w:type="dxa"/>
                </w:tcPr>
                <w:p w14:paraId="0AA65206" w14:textId="700A6855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19.11.2025.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29A55412" w14:textId="77777777" w:rsidR="0012491E" w:rsidRPr="00751547" w:rsidRDefault="0012491E" w:rsidP="0012491E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The language of  feedback to error</w:t>
                  </w:r>
                </w:p>
              </w:tc>
              <w:tc>
                <w:tcPr>
                  <w:tcW w:w="4047" w:type="dxa"/>
                </w:tcPr>
                <w:p w14:paraId="4697109A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Wajnryb, R. (2012)</w:t>
                  </w:r>
                </w:p>
              </w:tc>
            </w:tr>
            <w:tr w:rsidR="0012491E" w:rsidRPr="00751547" w14:paraId="0D85B243" w14:textId="77777777" w:rsidTr="00751547">
              <w:tc>
                <w:tcPr>
                  <w:tcW w:w="485" w:type="dxa"/>
                  <w:vAlign w:val="center"/>
                </w:tcPr>
                <w:p w14:paraId="31BA43B5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276" w:type="dxa"/>
                </w:tcPr>
                <w:p w14:paraId="51C4461A" w14:textId="5A5189BA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26.11.2025.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71C23AFE" w14:textId="77777777" w:rsidR="0012491E" w:rsidRPr="00751547" w:rsidRDefault="0012491E" w:rsidP="0012491E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Checking learning </w:t>
                  </w:r>
                </w:p>
              </w:tc>
              <w:tc>
                <w:tcPr>
                  <w:tcW w:w="4047" w:type="dxa"/>
                </w:tcPr>
                <w:p w14:paraId="435E2386" w14:textId="77777777" w:rsidR="0012491E" w:rsidRPr="00751547" w:rsidRDefault="0012491E" w:rsidP="0012491E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Wajnryb, R. (2012)</w:t>
                  </w:r>
                </w:p>
              </w:tc>
            </w:tr>
            <w:tr w:rsidR="00933750" w:rsidRPr="00751547" w14:paraId="60F80AF8" w14:textId="77777777" w:rsidTr="00751547">
              <w:tc>
                <w:tcPr>
                  <w:tcW w:w="485" w:type="dxa"/>
                  <w:vAlign w:val="center"/>
                </w:tcPr>
                <w:p w14:paraId="5D145B00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276" w:type="dxa"/>
                </w:tcPr>
                <w:p w14:paraId="70F404B6" w14:textId="07DBA6E2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4.12.2025.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5C65A1AB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/>
                      <w:sz w:val="18"/>
                      <w:szCs w:val="18"/>
                    </w:rPr>
                    <w:t xml:space="preserve">Lexis and learning </w:t>
                  </w:r>
                </w:p>
              </w:tc>
              <w:tc>
                <w:tcPr>
                  <w:tcW w:w="4047" w:type="dxa"/>
                </w:tcPr>
                <w:p w14:paraId="41F7F829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Wajnryb, R. (2012)</w:t>
                  </w:r>
                </w:p>
              </w:tc>
            </w:tr>
            <w:tr w:rsidR="00933750" w:rsidRPr="00751547" w14:paraId="1CCC08BE" w14:textId="77777777" w:rsidTr="00751547">
              <w:tc>
                <w:tcPr>
                  <w:tcW w:w="485" w:type="dxa"/>
                  <w:vAlign w:val="center"/>
                </w:tcPr>
                <w:p w14:paraId="26C9B046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lastRenderedPageBreak/>
                    <w:t>11.</w:t>
                  </w:r>
                </w:p>
              </w:tc>
              <w:tc>
                <w:tcPr>
                  <w:tcW w:w="1276" w:type="dxa"/>
                </w:tcPr>
                <w:p w14:paraId="227C41A7" w14:textId="109DEFD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10.12.2025.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13EF5D71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Grammar as lesson content</w:t>
                  </w:r>
                </w:p>
              </w:tc>
              <w:tc>
                <w:tcPr>
                  <w:tcW w:w="4047" w:type="dxa"/>
                </w:tcPr>
                <w:p w14:paraId="60E06D40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Wajnryb, R. (2012)</w:t>
                  </w:r>
                </w:p>
              </w:tc>
            </w:tr>
            <w:tr w:rsidR="00933750" w:rsidRPr="00751547" w14:paraId="791B7C0E" w14:textId="77777777" w:rsidTr="00751547">
              <w:tc>
                <w:tcPr>
                  <w:tcW w:w="485" w:type="dxa"/>
                  <w:vAlign w:val="center"/>
                </w:tcPr>
                <w:p w14:paraId="5A78285B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1276" w:type="dxa"/>
                </w:tcPr>
                <w:p w14:paraId="4EB101E6" w14:textId="1606C660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17.12.2025.</w:t>
                  </w:r>
                </w:p>
              </w:tc>
              <w:tc>
                <w:tcPr>
                  <w:tcW w:w="2551" w:type="dxa"/>
                  <w:vAlign w:val="center"/>
                </w:tcPr>
                <w:p w14:paraId="77A2C266" w14:textId="77777777" w:rsidR="00933750" w:rsidRPr="00751547" w:rsidRDefault="00933750" w:rsidP="00933750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Giving  instructions</w:t>
                  </w:r>
                </w:p>
              </w:tc>
              <w:tc>
                <w:tcPr>
                  <w:tcW w:w="4047" w:type="dxa"/>
                </w:tcPr>
                <w:p w14:paraId="3A08A7D5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Wajnryb, R. (2012)</w:t>
                  </w:r>
                </w:p>
              </w:tc>
            </w:tr>
            <w:tr w:rsidR="00933750" w:rsidRPr="00751547" w14:paraId="4F594411" w14:textId="77777777" w:rsidTr="00751547">
              <w:tc>
                <w:tcPr>
                  <w:tcW w:w="485" w:type="dxa"/>
                  <w:vAlign w:val="center"/>
                </w:tcPr>
                <w:p w14:paraId="2E731195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276" w:type="dxa"/>
                </w:tcPr>
                <w:p w14:paraId="0F765B92" w14:textId="1CF51E5A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7.1.2026.</w:t>
                  </w:r>
                </w:p>
              </w:tc>
              <w:tc>
                <w:tcPr>
                  <w:tcW w:w="2551" w:type="dxa"/>
                  <w:vAlign w:val="center"/>
                </w:tcPr>
                <w:p w14:paraId="4AA3ACBB" w14:textId="77777777" w:rsidR="00933750" w:rsidRPr="00751547" w:rsidRDefault="00933750" w:rsidP="00933750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Managing pair and group work  </w:t>
                  </w:r>
                </w:p>
              </w:tc>
              <w:tc>
                <w:tcPr>
                  <w:tcW w:w="4047" w:type="dxa"/>
                </w:tcPr>
                <w:p w14:paraId="042660B9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Wajnryb, R. (2012)</w:t>
                  </w:r>
                </w:p>
              </w:tc>
            </w:tr>
            <w:tr w:rsidR="00933750" w:rsidRPr="00751547" w14:paraId="6F5A68C6" w14:textId="77777777" w:rsidTr="00751547">
              <w:tc>
                <w:tcPr>
                  <w:tcW w:w="485" w:type="dxa"/>
                  <w:vAlign w:val="center"/>
                </w:tcPr>
                <w:p w14:paraId="2E95161F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276" w:type="dxa"/>
                </w:tcPr>
                <w:p w14:paraId="287E63DA" w14:textId="029A357F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14.1.2026.</w:t>
                  </w:r>
                </w:p>
              </w:tc>
              <w:tc>
                <w:tcPr>
                  <w:tcW w:w="2551" w:type="dxa"/>
                  <w:vAlign w:val="center"/>
                </w:tcPr>
                <w:p w14:paraId="13C96BB4" w14:textId="77777777" w:rsidR="00933750" w:rsidRPr="00751547" w:rsidRDefault="00933750" w:rsidP="00933750">
                  <w:pPr>
                    <w:rPr>
                      <w:rFonts w:ascii="Merriweather" w:eastAsia="MS Gothic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/>
                      <w:sz w:val="18"/>
                      <w:szCs w:val="18"/>
                    </w:rPr>
                    <w:t>Teaching and learning roles</w:t>
                  </w:r>
                </w:p>
              </w:tc>
              <w:tc>
                <w:tcPr>
                  <w:tcW w:w="4047" w:type="dxa"/>
                </w:tcPr>
                <w:p w14:paraId="31359323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Wajnryb, R. (2012)</w:t>
                  </w:r>
                </w:p>
              </w:tc>
            </w:tr>
            <w:tr w:rsidR="00933750" w:rsidRPr="00751547" w14:paraId="25C3EA35" w14:textId="77777777" w:rsidTr="00751547">
              <w:tc>
                <w:tcPr>
                  <w:tcW w:w="485" w:type="dxa"/>
                  <w:vAlign w:val="center"/>
                </w:tcPr>
                <w:p w14:paraId="7A726392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276" w:type="dxa"/>
                </w:tcPr>
                <w:p w14:paraId="1162CAC2" w14:textId="7102F198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  <w:highlight w:val="yellow"/>
                    </w:rPr>
                  </w:pPr>
                  <w:r w:rsidRPr="00036CFD">
                    <w:rPr>
                      <w:rFonts w:ascii="Merriweather" w:hAnsi="Merriweather"/>
                      <w:sz w:val="18"/>
                      <w:szCs w:val="18"/>
                    </w:rPr>
                    <w:t>21.1.2026.</w:t>
                  </w:r>
                </w:p>
              </w:tc>
              <w:tc>
                <w:tcPr>
                  <w:tcW w:w="2551" w:type="dxa"/>
                  <w:vAlign w:val="center"/>
                </w:tcPr>
                <w:p w14:paraId="16092B8D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</w:rPr>
                    <w:t xml:space="preserve">Reflective teaching - Portfolios </w:t>
                  </w:r>
                </w:p>
              </w:tc>
              <w:tc>
                <w:tcPr>
                  <w:tcW w:w="4047" w:type="dxa"/>
                  <w:vAlign w:val="center"/>
                </w:tcPr>
                <w:p w14:paraId="78D8871A" w14:textId="77777777" w:rsidR="00933750" w:rsidRPr="00751547" w:rsidRDefault="00933750" w:rsidP="00933750">
                  <w:pPr>
                    <w:rPr>
                      <w:rFonts w:ascii="Merriweather" w:hAnsi="Merriweather" w:cs="Times New Roman"/>
                      <w:sz w:val="18"/>
                      <w:szCs w:val="18"/>
                    </w:rPr>
                  </w:pPr>
                </w:p>
              </w:tc>
            </w:tr>
          </w:tbl>
          <w:p w14:paraId="6E3A408E" w14:textId="0BA40980" w:rsidR="00751547" w:rsidRPr="0049651C" w:rsidRDefault="0075154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751547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2"/>
            <w:vAlign w:val="center"/>
          </w:tcPr>
          <w:p w14:paraId="45019F88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Odabrana poglavlja:</w:t>
            </w:r>
          </w:p>
          <w:p w14:paraId="6A51EFDB" w14:textId="07AB09CA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Brown, H. D., Lee, H. (2015).</w:t>
            </w:r>
            <w:r w:rsidRPr="00933750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 xml:space="preserve">Teaching by Principles. An Interactive Approach to Language Pedagogy 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(4th edition). White Plains, NY: Pearson Education, Inc.</w:t>
            </w:r>
          </w:p>
          <w:p w14:paraId="646BA163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Harmer, J. (2015). </w:t>
            </w:r>
            <w:r w:rsidRPr="00933750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The Practice of English Language Teaching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(5th edition). White Plains, NY: Pearson Education, Inc.</w:t>
            </w:r>
          </w:p>
          <w:p w14:paraId="101B4456" w14:textId="15227A06" w:rsid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Ur, P. (20</w:t>
            </w:r>
            <w:r w:rsidR="00933750">
              <w:rPr>
                <w:rFonts w:ascii="Merriweather" w:eastAsia="MS Gothic" w:hAnsi="Merriweather" w:cs="Times New Roman"/>
                <w:sz w:val="18"/>
                <w:szCs w:val="18"/>
              </w:rPr>
              <w:t>24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). </w:t>
            </w:r>
            <w:r w:rsidRPr="00933750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A Course in Language Teaching: Practice and Theory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. Cambridge: CUP. </w:t>
            </w:r>
          </w:p>
          <w:p w14:paraId="0B89B5BE" w14:textId="072D5829" w:rsidR="00FC2198" w:rsidRPr="0017531F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Wajnryb, R. (1992/2012). </w:t>
            </w:r>
            <w:r w:rsidRPr="003A3AF4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Classroom Observation Tasks. A resour</w:t>
            </w:r>
            <w:r w:rsidR="00933750" w:rsidRPr="003A3AF4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c</w:t>
            </w:r>
            <w:r w:rsidRPr="003A3AF4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e book for language teachers and trainers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. Cambridge: CUP.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751547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Dodatna literatura </w:t>
            </w:r>
          </w:p>
        </w:tc>
        <w:tc>
          <w:tcPr>
            <w:tcW w:w="7486" w:type="dxa"/>
            <w:gridSpan w:val="32"/>
            <w:vAlign w:val="center"/>
          </w:tcPr>
          <w:p w14:paraId="6A5AE5DB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Odabrana poglavlja:</w:t>
            </w:r>
          </w:p>
          <w:p w14:paraId="3C30E191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Crooks, G. (2003). </w:t>
            </w:r>
            <w:r w:rsidRPr="003A3AF4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A Practicum in TESOL: professional development through teaching practice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. Cambridge: CUP. </w:t>
            </w:r>
          </w:p>
          <w:p w14:paraId="3A4A5DCE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Gebhard, J.G. and Oprandy, R. (1999). </w:t>
            </w:r>
            <w:r w:rsidRPr="003A3AF4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Language Teaching Awareness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. Cambridge: CUP. </w:t>
            </w:r>
          </w:p>
          <w:p w14:paraId="51FD716A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Newby, D. et al. (2008). </w:t>
            </w:r>
            <w:r w:rsidRPr="003A3AF4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European Portfolio for Student Teachers of Languages (EPOSTL) -  A reflection tool for language teacher education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. Graz: ECML.</w:t>
            </w:r>
          </w:p>
          <w:p w14:paraId="63D07860" w14:textId="02F4D796" w:rsidR="00FC2198" w:rsidRPr="0017531F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Članci iz stručnih časopisa.</w:t>
            </w:r>
          </w:p>
        </w:tc>
      </w:tr>
      <w:tr w:rsidR="00751547" w:rsidRPr="0017531F" w14:paraId="61074D84" w14:textId="77777777" w:rsidTr="008F3E99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7486" w:type="dxa"/>
            <w:gridSpan w:val="32"/>
          </w:tcPr>
          <w:p w14:paraId="3DCC4888" w14:textId="3B709B4E" w:rsidR="00751547" w:rsidRPr="0017531F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F0B8C">
              <w:rPr>
                <w:rFonts w:ascii="Times New Roman" w:eastAsia="MS Gothic" w:hAnsi="Times New Roman" w:cs="Times New Roman"/>
                <w:sz w:val="18"/>
              </w:rPr>
              <w:t>http://moodle.srce.hr  (dodatni materijali)</w:t>
            </w:r>
          </w:p>
        </w:tc>
      </w:tr>
      <w:tr w:rsidR="0075154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5424080C" w14:textId="77777777" w:rsidR="00751547" w:rsidRPr="0017531F" w:rsidRDefault="00751547" w:rsidP="0075154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751547" w:rsidRPr="0017531F" w:rsidRDefault="00751547" w:rsidP="0075154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75154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751547" w:rsidRPr="0017531F" w:rsidRDefault="00000000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751547" w:rsidRPr="0017531F" w:rsidRDefault="00751547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751547" w:rsidRPr="0017531F" w:rsidRDefault="00000000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751547" w:rsidRPr="0017531F" w:rsidRDefault="00751547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73730FB5" w14:textId="77777777" w:rsidR="00751547" w:rsidRPr="0017531F" w:rsidRDefault="00000000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751547" w:rsidRPr="0017531F" w:rsidRDefault="00000000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75154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751547" w:rsidRPr="0017531F" w:rsidRDefault="00000000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751547" w:rsidRPr="0017531F" w:rsidRDefault="00000000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51DCD1F9" w:rsidR="00751547" w:rsidRPr="0017531F" w:rsidRDefault="00000000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154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751547" w:rsidRPr="0017531F" w:rsidRDefault="00751547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27EC8E46" w14:textId="77777777" w:rsidR="00751547" w:rsidRPr="0017531F" w:rsidRDefault="00000000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751547" w:rsidRPr="0017531F" w:rsidRDefault="00751547" w:rsidP="0075154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54CEB29F" w14:textId="6B70A1ED" w:rsidR="00751547" w:rsidRPr="0017531F" w:rsidRDefault="00000000" w:rsidP="0075154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154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12FC65C4" w:rsidR="00751547" w:rsidRPr="0017531F" w:rsidRDefault="00000000" w:rsidP="0075154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154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5154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5154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751547" w:rsidRPr="0017531F" w14:paraId="2471899A" w14:textId="77777777" w:rsidTr="00751547">
        <w:trPr>
          <w:trHeight w:val="2231"/>
        </w:trPr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2"/>
            <w:vAlign w:val="center"/>
          </w:tcPr>
          <w:p w14:paraId="6ABC0314" w14:textId="77777777" w:rsidR="00751547" w:rsidRPr="00751547" w:rsidRDefault="00751547" w:rsidP="00751547">
            <w:pPr>
              <w:spacing w:after="120"/>
              <w:rPr>
                <w:rFonts w:ascii="Merriweather" w:hAnsi="Merriweather" w:cs="Times New Roman"/>
                <w:sz w:val="18"/>
                <w:szCs w:val="18"/>
                <w:lang w:val="en-CA"/>
              </w:rPr>
            </w:pPr>
            <w:r w:rsidRPr="00751547">
              <w:rPr>
                <w:rFonts w:ascii="Merriweather" w:hAnsi="Merriweather" w:cs="Times New Roman"/>
                <w:sz w:val="18"/>
                <w:szCs w:val="18"/>
                <w:lang w:val="en-CA"/>
              </w:rPr>
              <w:t>Sveukupna ocjena</w:t>
            </w:r>
          </w:p>
          <w:tbl>
            <w:tblPr>
              <w:tblW w:w="666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64"/>
              <w:gridCol w:w="1559"/>
              <w:gridCol w:w="1417"/>
              <w:gridCol w:w="1823"/>
            </w:tblGrid>
            <w:tr w:rsidR="00751547" w:rsidRPr="00751547" w14:paraId="4A453EB2" w14:textId="77777777" w:rsidTr="00E75C10">
              <w:trPr>
                <w:trHeight w:val="464"/>
              </w:trPr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EFEB7" w14:textId="77777777" w:rsidR="00751547" w:rsidRPr="00751547" w:rsidRDefault="00751547" w:rsidP="00751547">
                  <w:pPr>
                    <w:spacing w:before="0"/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  <w:t>Portfolijo*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E9444" w14:textId="77777777" w:rsidR="00751547" w:rsidRPr="00751547" w:rsidRDefault="00751547" w:rsidP="00751547">
                  <w:pPr>
                    <w:spacing w:before="0"/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  <w:t>Esej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AA9C1" w14:textId="77777777" w:rsidR="00751547" w:rsidRPr="00751547" w:rsidRDefault="00751547" w:rsidP="00751547">
                  <w:pPr>
                    <w:spacing w:before="0"/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  <w:t>Sudjelovanje u nastavi</w:t>
                  </w: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F1BAB" w14:textId="77777777" w:rsidR="00751547" w:rsidRPr="00751547" w:rsidRDefault="00751547" w:rsidP="00751547">
                  <w:pPr>
                    <w:spacing w:before="0"/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  <w:t>Sveukupna ocjena</w:t>
                  </w:r>
                </w:p>
              </w:tc>
            </w:tr>
            <w:tr w:rsidR="00751547" w:rsidRPr="00751547" w14:paraId="4F8F5A90" w14:textId="77777777" w:rsidTr="00E75C10"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308C1" w14:textId="77777777" w:rsidR="00751547" w:rsidRPr="00751547" w:rsidRDefault="00751547" w:rsidP="00751547">
                  <w:pPr>
                    <w:spacing w:before="0"/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  <w:t>70%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3C901" w14:textId="77777777" w:rsidR="00751547" w:rsidRPr="00751547" w:rsidRDefault="00751547" w:rsidP="00751547">
                  <w:pPr>
                    <w:spacing w:before="0"/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  <w:t>20%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2ECA0" w14:textId="77777777" w:rsidR="00751547" w:rsidRPr="00751547" w:rsidRDefault="00751547" w:rsidP="00751547">
                  <w:pPr>
                    <w:spacing w:before="0"/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  <w:t>10%</w:t>
                  </w:r>
                </w:p>
              </w:tc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C97FB" w14:textId="77777777" w:rsidR="00751547" w:rsidRPr="00751547" w:rsidRDefault="00751547" w:rsidP="00751547">
                  <w:pPr>
                    <w:spacing w:before="0"/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</w:pPr>
                  <w:r w:rsidRPr="00751547">
                    <w:rPr>
                      <w:rFonts w:ascii="Merriweather" w:hAnsi="Merriweather" w:cs="Times New Roman"/>
                      <w:sz w:val="18"/>
                      <w:szCs w:val="18"/>
                      <w:lang w:val="en-CA"/>
                    </w:rPr>
                    <w:t>100%</w:t>
                  </w:r>
                </w:p>
              </w:tc>
            </w:tr>
          </w:tbl>
          <w:p w14:paraId="786FFFCD" w14:textId="77777777" w:rsid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sz w:val="18"/>
                <w:szCs w:val="18"/>
              </w:rPr>
              <w:t>*60% Zadatke promatranja, 10% Dnevnik školske prakse</w:t>
            </w:r>
          </w:p>
          <w:p w14:paraId="646F7F3F" w14:textId="4992331C" w:rsidR="00751547" w:rsidRPr="0017531F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751547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41CB17B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1547">
              <w:rPr>
                <w:rFonts w:ascii="Merriweather" w:hAnsi="Merriweather" w:cs="Times New Roman"/>
                <w:sz w:val="18"/>
              </w:rPr>
              <w:t>0 – 59 %</w:t>
            </w:r>
          </w:p>
        </w:tc>
        <w:tc>
          <w:tcPr>
            <w:tcW w:w="6061" w:type="dxa"/>
            <w:gridSpan w:val="26"/>
            <w:vAlign w:val="center"/>
          </w:tcPr>
          <w:p w14:paraId="1D503BAA" w14:textId="365F68B4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sz w:val="18"/>
                <w:szCs w:val="18"/>
              </w:rPr>
              <w:t xml:space="preserve"> nedovoljan (1)</w:t>
            </w:r>
          </w:p>
        </w:tc>
      </w:tr>
      <w:tr w:rsidR="00751547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BD18796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1547">
              <w:rPr>
                <w:rFonts w:ascii="Merriweather" w:hAnsi="Merriweather" w:cs="Times New Roman"/>
                <w:sz w:val="18"/>
              </w:rPr>
              <w:t>60 – 69  %</w:t>
            </w:r>
          </w:p>
        </w:tc>
        <w:tc>
          <w:tcPr>
            <w:tcW w:w="6061" w:type="dxa"/>
            <w:gridSpan w:val="26"/>
            <w:vAlign w:val="center"/>
          </w:tcPr>
          <w:p w14:paraId="11E1DB10" w14:textId="054091CB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sz w:val="18"/>
                <w:szCs w:val="18"/>
              </w:rPr>
              <w:t xml:space="preserve"> dovoljan (2)</w:t>
            </w:r>
          </w:p>
        </w:tc>
      </w:tr>
      <w:tr w:rsidR="00751547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204B5F69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1547">
              <w:rPr>
                <w:rFonts w:ascii="Merriweather" w:hAnsi="Merriweather" w:cs="Times New Roman"/>
                <w:sz w:val="18"/>
              </w:rPr>
              <w:t>70 – 79  %</w:t>
            </w:r>
          </w:p>
        </w:tc>
        <w:tc>
          <w:tcPr>
            <w:tcW w:w="6061" w:type="dxa"/>
            <w:gridSpan w:val="26"/>
            <w:vAlign w:val="center"/>
          </w:tcPr>
          <w:p w14:paraId="71740741" w14:textId="5985DEF9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sz w:val="18"/>
                <w:szCs w:val="18"/>
              </w:rPr>
              <w:t>dobar (3)</w:t>
            </w:r>
          </w:p>
        </w:tc>
      </w:tr>
      <w:tr w:rsidR="00751547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697F16D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1547">
              <w:rPr>
                <w:rFonts w:ascii="Merriweather" w:hAnsi="Merriweather" w:cs="Times New Roman"/>
                <w:sz w:val="18"/>
              </w:rPr>
              <w:t>80 – 89  %</w:t>
            </w:r>
          </w:p>
        </w:tc>
        <w:tc>
          <w:tcPr>
            <w:tcW w:w="6061" w:type="dxa"/>
            <w:gridSpan w:val="26"/>
            <w:vAlign w:val="center"/>
          </w:tcPr>
          <w:p w14:paraId="2AEA4C99" w14:textId="323DC660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sz w:val="18"/>
                <w:szCs w:val="18"/>
              </w:rPr>
              <w:t>vrlo dobar (4)</w:t>
            </w:r>
          </w:p>
        </w:tc>
      </w:tr>
      <w:tr w:rsidR="00751547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E159182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1547">
              <w:rPr>
                <w:rFonts w:ascii="Merriweather" w:hAnsi="Merriweather" w:cs="Times New Roman"/>
                <w:sz w:val="18"/>
              </w:rPr>
              <w:t>90 - 100  %</w:t>
            </w:r>
          </w:p>
        </w:tc>
        <w:tc>
          <w:tcPr>
            <w:tcW w:w="6061" w:type="dxa"/>
            <w:gridSpan w:val="26"/>
            <w:vAlign w:val="center"/>
          </w:tcPr>
          <w:p w14:paraId="5EEE0A7F" w14:textId="42B56D6B" w:rsidR="00751547" w:rsidRPr="00751547" w:rsidRDefault="00751547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sz w:val="18"/>
                <w:szCs w:val="18"/>
              </w:rPr>
              <w:t>izvrstan (5)</w:t>
            </w:r>
          </w:p>
        </w:tc>
      </w:tr>
      <w:tr w:rsidR="00751547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7486" w:type="dxa"/>
            <w:gridSpan w:val="32"/>
            <w:vAlign w:val="center"/>
          </w:tcPr>
          <w:p w14:paraId="27BCEF03" w14:textId="77777777" w:rsidR="00751547" w:rsidRPr="00751547" w:rsidRDefault="00000000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75154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751547" w:rsidRPr="00751547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Sveučilišta </w:t>
            </w:r>
          </w:p>
          <w:p w14:paraId="162A143E" w14:textId="77777777" w:rsidR="00751547" w:rsidRPr="00751547" w:rsidRDefault="00000000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75154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51547" w:rsidRPr="00751547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sastavnice</w:t>
            </w:r>
          </w:p>
          <w:p w14:paraId="6757534E" w14:textId="77777777" w:rsidR="00751547" w:rsidRPr="00751547" w:rsidRDefault="00000000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75154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51547" w:rsidRPr="00751547">
              <w:rPr>
                <w:rFonts w:ascii="Merriweather" w:hAnsi="Merriweather" w:cs="Times New Roman"/>
                <w:sz w:val="18"/>
                <w:szCs w:val="18"/>
              </w:rPr>
              <w:t xml:space="preserve"> interna evaluacija nastave </w:t>
            </w:r>
          </w:p>
          <w:p w14:paraId="1C23CDCD" w14:textId="77777777" w:rsidR="00751547" w:rsidRPr="00751547" w:rsidRDefault="00000000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75154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751547" w:rsidRPr="00751547">
              <w:rPr>
                <w:rFonts w:ascii="Merriweather" w:hAnsi="Merriweather" w:cs="Times New Roman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249AEB9E" w14:textId="77777777" w:rsidR="00751547" w:rsidRPr="0017531F" w:rsidRDefault="00000000" w:rsidP="007515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47" w:rsidRPr="0075154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51547" w:rsidRPr="00751547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751547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751547" w:rsidRPr="00751547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Napomena / </w:t>
            </w:r>
          </w:p>
          <w:p w14:paraId="4DE26E64" w14:textId="77777777" w:rsidR="00751547" w:rsidRPr="0017531F" w:rsidRDefault="00751547" w:rsidP="0075154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751547">
              <w:rPr>
                <w:rFonts w:ascii="Merriweather" w:hAnsi="Merriweather" w:cs="Times New Roman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2"/>
          </w:tcPr>
          <w:p w14:paraId="02B1DDEE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Sukladno čl. 6. </w:t>
            </w:r>
            <w:r w:rsidRPr="00751547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Odbora za etiku u znanosti i visokom obrazovanju, „od studenta se očekuje da pošteno i etično ispunjava svoje obveze, da mu je 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lastRenderedPageBreak/>
              <w:t xml:space="preserve">temeljni cilj akademska izvrsnost, da se ponaša civilizirano, s poštovanjem i bez predrasuda“. </w:t>
            </w:r>
          </w:p>
          <w:p w14:paraId="7C9BA0A4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Prema čl. 14. </w:t>
            </w:r>
            <w:r w:rsidRPr="00751547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751547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[…] </w:t>
            </w:r>
          </w:p>
          <w:p w14:paraId="796EA1B9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751547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  <w:szCs w:val="18"/>
                </w:rPr>
                <w:t>Pravilnik o stegovnoj odgovornosti studenata/studentica Sveučilišta u Zadru</w:t>
              </w:r>
            </w:hyperlink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.</w:t>
            </w:r>
          </w:p>
          <w:p w14:paraId="13B6B566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6359B68F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751547" w:rsidRPr="00751547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191B4CD3" w14:textId="77777777" w:rsidR="00751547" w:rsidRPr="0017531F" w:rsidRDefault="00751547" w:rsidP="0075154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51547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U kolegiju se koristi Merlin, sustav za e-učenje, pa su studentima potrebni AAI računi. </w:t>
            </w:r>
            <w:r w:rsidRPr="00751547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/izbrisati po potrebi/</w:t>
            </w:r>
          </w:p>
        </w:tc>
      </w:tr>
    </w:tbl>
    <w:p w14:paraId="279DFD58" w14:textId="77777777" w:rsidR="00BB4ADD" w:rsidRDefault="00BB4ADD" w:rsidP="00BB4ADD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Suradnici</w:t>
      </w:r>
      <w:r w:rsidRPr="004B096B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454"/>
        <w:gridCol w:w="3657"/>
        <w:gridCol w:w="3543"/>
      </w:tblGrid>
      <w:tr w:rsidR="00BB4ADD" w:rsidRPr="004B096B" w14:paraId="0EC5CD05" w14:textId="77777777" w:rsidTr="00FF1552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645F96" w14:textId="77777777" w:rsidR="00BB4ADD" w:rsidRPr="004B096B" w:rsidRDefault="00BB4ADD" w:rsidP="00FF1552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B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Mentor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B3D0E4" w14:textId="77777777" w:rsidR="00BB4ADD" w:rsidRPr="004B096B" w:rsidRDefault="00BB4ADD" w:rsidP="00FF1552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B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6174AD" w14:textId="77777777" w:rsidR="00BB4ADD" w:rsidRPr="004B096B" w:rsidRDefault="00BB4ADD" w:rsidP="00FF1552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B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Kontakt</w:t>
            </w:r>
          </w:p>
        </w:tc>
      </w:tr>
      <w:tr w:rsidR="00BB4ADD" w:rsidRPr="0058070F" w14:paraId="3E889244" w14:textId="77777777" w:rsidTr="00FF1552">
        <w:trPr>
          <w:trHeight w:val="33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56E6D2" w14:textId="77777777" w:rsidR="00BB4ADD" w:rsidRPr="0058070F" w:rsidRDefault="00BB4ADD" w:rsidP="00FF1552">
            <w:pPr>
              <w:spacing w:before="0"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58070F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Vanja Bajlo 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E1F45D" w14:textId="77777777" w:rsidR="00BB4ADD" w:rsidRPr="0058070F" w:rsidRDefault="00BB4ADD" w:rsidP="00FF1552">
            <w:pPr>
              <w:spacing w:before="0"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58070F">
              <w:rPr>
                <w:rFonts w:ascii="Times New Roman" w:hAnsi="Times New Roman"/>
                <w:sz w:val="20"/>
                <w:szCs w:val="20"/>
                <w:lang w:eastAsia="hr-HR"/>
              </w:rPr>
              <w:t>Klasična gimnazija Ivana Pavla II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6840BE" w14:textId="77777777" w:rsidR="00BB4ADD" w:rsidRPr="0058070F" w:rsidRDefault="00BB4ADD" w:rsidP="00FF1552">
            <w:pPr>
              <w:spacing w:before="0"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13" w:history="1">
              <w:r w:rsidRPr="005807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vanja.bajlo@skole.hr</w:t>
              </w:r>
            </w:hyperlink>
            <w:r w:rsidRPr="0058070F">
              <w:rPr>
                <w:rFonts w:ascii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BB4ADD" w:rsidRPr="0058070F" w14:paraId="6288936B" w14:textId="77777777" w:rsidTr="00FF1552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6011FF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58070F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Sandra Botunac 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9F2E91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58070F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Tehnička škola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CA3CBA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hyperlink r:id="rId14" w:history="1">
              <w:r w:rsidRPr="0058070F">
                <w:rPr>
                  <w:rStyle w:val="Hyperlink"/>
                  <w:rFonts w:ascii="Times New Roman" w:eastAsia="Times New Roman" w:hAnsi="Times New Roman"/>
                  <w:bCs/>
                  <w:sz w:val="20"/>
                  <w:szCs w:val="20"/>
                  <w:lang w:eastAsia="hr-HR"/>
                </w:rPr>
                <w:t>sandra.botunac@skole.hr</w:t>
              </w:r>
            </w:hyperlink>
          </w:p>
        </w:tc>
      </w:tr>
      <w:tr w:rsidR="00BB4ADD" w:rsidRPr="0058070F" w14:paraId="1093CA6D" w14:textId="77777777" w:rsidTr="00FF1552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66A2" w14:textId="77777777" w:rsidR="00BB4ADD" w:rsidRPr="0058070F" w:rsidRDefault="00BB4ADD" w:rsidP="00FF1552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70F">
              <w:rPr>
                <w:rFonts w:ascii="Times New Roman" w:hAnsi="Times New Roman"/>
                <w:sz w:val="20"/>
                <w:szCs w:val="20"/>
              </w:rPr>
              <w:t>Ana Džaja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A2ADF" w14:textId="77777777" w:rsidR="00BB4ADD" w:rsidRPr="0058070F" w:rsidRDefault="00BB4ADD" w:rsidP="00FF1552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70F">
              <w:rPr>
                <w:rFonts w:ascii="Times New Roman" w:hAnsi="Times New Roman"/>
                <w:sz w:val="20"/>
                <w:szCs w:val="20"/>
              </w:rPr>
              <w:t>OŠ Šime Budiniča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B7492" w14:textId="77777777" w:rsidR="00BB4ADD" w:rsidRPr="0058070F" w:rsidRDefault="00BB4ADD" w:rsidP="00FF1552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5807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ana.dzaja@gmail.com</w:t>
              </w:r>
            </w:hyperlink>
            <w:r w:rsidRPr="005807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B4ADD" w:rsidRPr="0058070F" w14:paraId="36CF2DD9" w14:textId="77777777" w:rsidTr="00FF1552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C972B8" w14:textId="77777777" w:rsidR="00BB4ADD" w:rsidRPr="0058070F" w:rsidRDefault="00BB4ADD" w:rsidP="00FF1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70F">
              <w:rPr>
                <w:rFonts w:ascii="Times New Roman" w:hAnsi="Times New Roman" w:cs="Times New Roman"/>
                <w:sz w:val="20"/>
                <w:szCs w:val="20"/>
              </w:rPr>
              <w:t>Simona Atlaga Ivanišević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2BC63" w14:textId="77777777" w:rsidR="00BB4ADD" w:rsidRPr="0058070F" w:rsidRDefault="00BB4ADD" w:rsidP="00FF1552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70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Hotelijersko-turistička i ugostiteljska škola Zadar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1D6A3" w14:textId="77777777" w:rsidR="00BB4ADD" w:rsidRPr="0058070F" w:rsidRDefault="00BB4ADD" w:rsidP="00FF155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5807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simonaatlaga@yahoo.co.uk</w:t>
              </w:r>
            </w:hyperlink>
          </w:p>
          <w:p w14:paraId="7AD41FA6" w14:textId="77777777" w:rsidR="00BB4ADD" w:rsidRPr="0058070F" w:rsidRDefault="00BB4ADD" w:rsidP="00FF1552">
            <w:pPr>
              <w:spacing w:before="0" w:after="0"/>
              <w:jc w:val="both"/>
              <w:rPr>
                <w:sz w:val="20"/>
                <w:szCs w:val="20"/>
              </w:rPr>
            </w:pPr>
          </w:p>
        </w:tc>
      </w:tr>
      <w:tr w:rsidR="00BB4ADD" w14:paraId="2DFA02F5" w14:textId="77777777" w:rsidTr="00FF1552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EB220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Fani Kotarac</w:t>
            </w:r>
            <w:r w:rsidRPr="0058070F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45CBA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58070F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OŠ Šime Budiniča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62303" w14:textId="77777777" w:rsidR="00BB4ADD" w:rsidRDefault="00BB4ADD" w:rsidP="00FF1552">
            <w:pPr>
              <w:spacing w:before="0" w:after="0"/>
            </w:pPr>
            <w:hyperlink r:id="rId17" w:history="1">
              <w:r w:rsidRPr="0058070F">
                <w:rPr>
                  <w:rStyle w:val="Hyperlink"/>
                  <w:rFonts w:ascii="Times New Roman" w:eastAsia="Times New Roman" w:hAnsi="Times New Roman"/>
                  <w:bCs/>
                  <w:sz w:val="20"/>
                  <w:szCs w:val="20"/>
                  <w:lang w:eastAsia="hr-HR"/>
                </w:rPr>
                <w:t>fani.paleka@gmail.com</w:t>
              </w:r>
            </w:hyperlink>
            <w:r w:rsidRPr="0058070F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 </w:t>
            </w:r>
          </w:p>
        </w:tc>
      </w:tr>
      <w:tr w:rsidR="00BB4ADD" w:rsidRPr="0058070F" w14:paraId="2F9B5648" w14:textId="77777777" w:rsidTr="00FF1552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5034D0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58070F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Lana Kulišić   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06F829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58070F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OŠ Bartula Kašića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6B2C9D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hyperlink r:id="rId18" w:history="1">
              <w:r w:rsidRPr="0058070F">
                <w:rPr>
                  <w:rStyle w:val="Hyperlink"/>
                  <w:rFonts w:ascii="Times New Roman" w:eastAsia="Times New Roman" w:hAnsi="Times New Roman"/>
                  <w:bCs/>
                  <w:sz w:val="20"/>
                  <w:szCs w:val="20"/>
                  <w:lang w:eastAsia="hr-HR"/>
                </w:rPr>
                <w:t>lanakulisic@gmail.com</w:t>
              </w:r>
            </w:hyperlink>
          </w:p>
        </w:tc>
      </w:tr>
      <w:tr w:rsidR="00BB4ADD" w:rsidRPr="0058070F" w14:paraId="454218F9" w14:textId="77777777" w:rsidTr="00FF1552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9DA6D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58070F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Vanja Paleka 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D725F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58070F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OŠ Smiljevac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97A36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hyperlink r:id="rId19" w:history="1">
              <w:r w:rsidRPr="0058070F">
                <w:rPr>
                  <w:rStyle w:val="Hyperlink"/>
                  <w:rFonts w:ascii="Times New Roman" w:eastAsia="Times New Roman" w:hAnsi="Times New Roman"/>
                  <w:bCs/>
                  <w:sz w:val="20"/>
                  <w:szCs w:val="20"/>
                  <w:lang w:eastAsia="hr-HR"/>
                </w:rPr>
                <w:t>vpaleka@gmail.com</w:t>
              </w:r>
            </w:hyperlink>
          </w:p>
        </w:tc>
      </w:tr>
      <w:tr w:rsidR="00BB4ADD" w:rsidRPr="0058070F" w14:paraId="03121FE4" w14:textId="77777777" w:rsidTr="00FF1552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63B5F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58070F">
              <w:rPr>
                <w:rFonts w:ascii="Times New Roman" w:hAnsi="Times New Roman"/>
                <w:sz w:val="20"/>
                <w:szCs w:val="20"/>
              </w:rPr>
              <w:t>Zorka Bebić Tokič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608F63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58070F">
              <w:rPr>
                <w:rFonts w:ascii="Times New Roman" w:hAnsi="Times New Roman"/>
                <w:sz w:val="20"/>
                <w:szCs w:val="20"/>
              </w:rPr>
              <w:t>OŠ Krune Krstića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9CE09" w14:textId="77777777" w:rsidR="00BB4ADD" w:rsidRPr="0058070F" w:rsidRDefault="00BB4ADD" w:rsidP="00FF1552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hyperlink r:id="rId20" w:history="1">
              <w:r w:rsidRPr="005807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zorka_b_t@yahoo.com</w:t>
              </w:r>
            </w:hyperlink>
          </w:p>
        </w:tc>
      </w:tr>
      <w:tr w:rsidR="00BB4ADD" w:rsidRPr="0058070F" w14:paraId="1AF68B3C" w14:textId="77777777" w:rsidTr="00FF1552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E219A" w14:textId="77777777" w:rsidR="00BB4ADD" w:rsidRPr="0058070F" w:rsidRDefault="00BB4ADD" w:rsidP="00FF1552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70F">
              <w:rPr>
                <w:rFonts w:ascii="Times New Roman" w:hAnsi="Times New Roman"/>
                <w:sz w:val="20"/>
                <w:szCs w:val="20"/>
              </w:rPr>
              <w:t>Ana Žaja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FE7E" w14:textId="77777777" w:rsidR="00BB4ADD" w:rsidRPr="0058070F" w:rsidRDefault="00BB4ADD" w:rsidP="00FF1552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70F">
              <w:rPr>
                <w:rFonts w:ascii="Times New Roman" w:hAnsi="Times New Roman"/>
                <w:sz w:val="20"/>
                <w:szCs w:val="20"/>
              </w:rPr>
              <w:t>Gimnazija Franje Petrića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F07AF" w14:textId="77777777" w:rsidR="00BB4ADD" w:rsidRPr="0058070F" w:rsidRDefault="00BB4ADD" w:rsidP="00FF1552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5807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a.zaja@yahoo.com</w:t>
              </w:r>
            </w:hyperlink>
            <w:r w:rsidRPr="005807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5AD5" w14:textId="77777777" w:rsidR="00835E40" w:rsidRDefault="00835E40" w:rsidP="009947BA">
      <w:pPr>
        <w:spacing w:before="0" w:after="0"/>
      </w:pPr>
      <w:r>
        <w:separator/>
      </w:r>
    </w:p>
  </w:endnote>
  <w:endnote w:type="continuationSeparator" w:id="0">
    <w:p w14:paraId="1B2A88FC" w14:textId="77777777" w:rsidR="00835E40" w:rsidRDefault="00835E40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014D" w14:textId="77777777" w:rsidR="00835E40" w:rsidRDefault="00835E40" w:rsidP="009947BA">
      <w:pPr>
        <w:spacing w:before="0" w:after="0"/>
      </w:pPr>
      <w:r>
        <w:separator/>
      </w:r>
    </w:p>
  </w:footnote>
  <w:footnote w:type="continuationSeparator" w:id="0">
    <w:p w14:paraId="26CFA5A6" w14:textId="77777777" w:rsidR="00835E40" w:rsidRDefault="00835E40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10332B"/>
    <w:rsid w:val="0012491E"/>
    <w:rsid w:val="001443A2"/>
    <w:rsid w:val="00150B32"/>
    <w:rsid w:val="0017531F"/>
    <w:rsid w:val="00197510"/>
    <w:rsid w:val="001C5E0C"/>
    <w:rsid w:val="001C7C51"/>
    <w:rsid w:val="00226462"/>
    <w:rsid w:val="0022722C"/>
    <w:rsid w:val="0028545A"/>
    <w:rsid w:val="002D62A7"/>
    <w:rsid w:val="002E1CE6"/>
    <w:rsid w:val="002F2D22"/>
    <w:rsid w:val="00310F9A"/>
    <w:rsid w:val="00325901"/>
    <w:rsid w:val="00326091"/>
    <w:rsid w:val="003302BF"/>
    <w:rsid w:val="00357643"/>
    <w:rsid w:val="00371634"/>
    <w:rsid w:val="00386E9C"/>
    <w:rsid w:val="00393964"/>
    <w:rsid w:val="003A3AF4"/>
    <w:rsid w:val="003D7529"/>
    <w:rsid w:val="003F11B6"/>
    <w:rsid w:val="003F17B8"/>
    <w:rsid w:val="004138FF"/>
    <w:rsid w:val="00453362"/>
    <w:rsid w:val="00461219"/>
    <w:rsid w:val="00470F6D"/>
    <w:rsid w:val="0048356E"/>
    <w:rsid w:val="00483BC3"/>
    <w:rsid w:val="0049651C"/>
    <w:rsid w:val="004B1B3D"/>
    <w:rsid w:val="004B553E"/>
    <w:rsid w:val="00507C65"/>
    <w:rsid w:val="00527C5F"/>
    <w:rsid w:val="005353ED"/>
    <w:rsid w:val="00545449"/>
    <w:rsid w:val="005514C3"/>
    <w:rsid w:val="005924FE"/>
    <w:rsid w:val="005A077B"/>
    <w:rsid w:val="005D0B86"/>
    <w:rsid w:val="005E1668"/>
    <w:rsid w:val="005E5F80"/>
    <w:rsid w:val="005F6E0B"/>
    <w:rsid w:val="0062328F"/>
    <w:rsid w:val="00684BBC"/>
    <w:rsid w:val="006B41C5"/>
    <w:rsid w:val="006B4920"/>
    <w:rsid w:val="00700D7A"/>
    <w:rsid w:val="007123B5"/>
    <w:rsid w:val="00721260"/>
    <w:rsid w:val="007361E7"/>
    <w:rsid w:val="007368EB"/>
    <w:rsid w:val="00751547"/>
    <w:rsid w:val="0078125F"/>
    <w:rsid w:val="00794496"/>
    <w:rsid w:val="007967CC"/>
    <w:rsid w:val="0079745E"/>
    <w:rsid w:val="00797B40"/>
    <w:rsid w:val="007B1E53"/>
    <w:rsid w:val="007C43A4"/>
    <w:rsid w:val="007C5A02"/>
    <w:rsid w:val="007D4D2D"/>
    <w:rsid w:val="00835E40"/>
    <w:rsid w:val="00865776"/>
    <w:rsid w:val="00874D5D"/>
    <w:rsid w:val="00877864"/>
    <w:rsid w:val="00891C60"/>
    <w:rsid w:val="008942F0"/>
    <w:rsid w:val="008B1823"/>
    <w:rsid w:val="008B3B10"/>
    <w:rsid w:val="008D45DB"/>
    <w:rsid w:val="008D68F4"/>
    <w:rsid w:val="0090214F"/>
    <w:rsid w:val="009163E6"/>
    <w:rsid w:val="00933750"/>
    <w:rsid w:val="009760E8"/>
    <w:rsid w:val="009947BA"/>
    <w:rsid w:val="00997527"/>
    <w:rsid w:val="00997F41"/>
    <w:rsid w:val="009A3A9D"/>
    <w:rsid w:val="009C56B1"/>
    <w:rsid w:val="009D5226"/>
    <w:rsid w:val="009E2FD4"/>
    <w:rsid w:val="00A06750"/>
    <w:rsid w:val="00A75EE5"/>
    <w:rsid w:val="00A9132B"/>
    <w:rsid w:val="00AA1A5A"/>
    <w:rsid w:val="00AB3CEE"/>
    <w:rsid w:val="00AD23FB"/>
    <w:rsid w:val="00B50EDF"/>
    <w:rsid w:val="00B71A57"/>
    <w:rsid w:val="00B7307A"/>
    <w:rsid w:val="00BB4ADD"/>
    <w:rsid w:val="00C02454"/>
    <w:rsid w:val="00C3477B"/>
    <w:rsid w:val="00C85956"/>
    <w:rsid w:val="00C9733D"/>
    <w:rsid w:val="00CA3783"/>
    <w:rsid w:val="00CB23F4"/>
    <w:rsid w:val="00CE5DA2"/>
    <w:rsid w:val="00D136E4"/>
    <w:rsid w:val="00D5334D"/>
    <w:rsid w:val="00D5523D"/>
    <w:rsid w:val="00D85085"/>
    <w:rsid w:val="00D944DF"/>
    <w:rsid w:val="00DC326A"/>
    <w:rsid w:val="00DD110C"/>
    <w:rsid w:val="00DE6D53"/>
    <w:rsid w:val="00E06E39"/>
    <w:rsid w:val="00E07D73"/>
    <w:rsid w:val="00E17D18"/>
    <w:rsid w:val="00E30E67"/>
    <w:rsid w:val="00E77BE8"/>
    <w:rsid w:val="00EB5A72"/>
    <w:rsid w:val="00F02A8F"/>
    <w:rsid w:val="00F22855"/>
    <w:rsid w:val="00F50765"/>
    <w:rsid w:val="00F513E0"/>
    <w:rsid w:val="00F566DA"/>
    <w:rsid w:val="00F71E9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nat.unizd.hr/squirrelmail/src/compose.php?send_to=%22Vanja%20Bajlo%22%20%3Cvanja.bajlo%40skole.hr%3E" TargetMode="External"/><Relationship Id="rId18" Type="http://schemas.openxmlformats.org/officeDocument/2006/relationships/hyperlink" Target="mailto:lanakulisic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.zaja@yahoo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17" Type="http://schemas.openxmlformats.org/officeDocument/2006/relationships/hyperlink" Target="mailto:fani.paleka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imonaatlaga@yahoo.co.uk" TargetMode="External"/><Relationship Id="rId20" Type="http://schemas.openxmlformats.org/officeDocument/2006/relationships/hyperlink" Target="mailto:zorka_b_t@yaho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glistika.unizd.hr/ispitni-rokovi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ana.dzaja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nglistika.unizd.hr/ispitni-rokovi" TargetMode="External"/><Relationship Id="rId19" Type="http://schemas.openxmlformats.org/officeDocument/2006/relationships/hyperlink" Target="https://donat.unizd.hr/squirrelmail/src/compose.php?send_to=%22Vanja%20Paleka%22%20%3Cvpaleka%40gmail.com%3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onat.unizd.hr/squirrelmail/src/compose.php?send_to=%22Sandra%20Botunac%22%20%3Csandra.botunac%40skole.hr%3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5F74F-EA6B-493B-A47E-95F50C954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Anna Martinović</cp:lastModifiedBy>
  <cp:revision>10</cp:revision>
  <cp:lastPrinted>2021-02-12T11:27:00Z</cp:lastPrinted>
  <dcterms:created xsi:type="dcterms:W3CDTF">2025-09-02T08:37:00Z</dcterms:created>
  <dcterms:modified xsi:type="dcterms:W3CDTF">2025-09-02T09:00:00Z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